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757"/>
        <w:tblW w:w="11298"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rsidTr="00867BA5">
        <w:trPr>
          <w:trHeight w:val="510"/>
        </w:trPr>
        <w:tc>
          <w:tcPr>
            <w:tcW w:w="56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5A3C9393" wp14:editId="60F649E3">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C9393"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" fillcolor="white [3201]" strokecolor="black [3213]" strokeweight=".5pt">
                      <v:textbox>
                        <w:txbxContent>
                          <w:p w:rsidR="00F22884" w:rsidRPr="00F22884" w:rsidRDefault="00F22884"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37D8159" wp14:editId="60D82525">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22884" w:rsidRPr="00F22884" w:rsidRDefault="00F22884"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D8159"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" fillcolor="white [3201]" strokecolor="black [3213]">
                      <v:textbox>
                        <w:txbxContent>
                          <w:p w:rsidR="00F22884" w:rsidRPr="00F22884" w:rsidRDefault="00F22884"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rsidTr="00867BA5">
        <w:trPr>
          <w:trHeight w:val="702"/>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6D79A3" w:rsidRPr="006D79A3" w:rsidRDefault="005F22E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同じスペースは人数を制限し、時間を決めて交代で利用して工夫している</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5F22E7"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配置基準よりも多い職員を配置している</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5F22E7"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玄関スロープ・トイレ・廊下などバリアフリー化している。</w:t>
            </w:r>
          </w:p>
        </w:tc>
      </w:tr>
      <w:tr w:rsidR="00867BA5" w:rsidRPr="006D79A3" w:rsidTr="00867BA5">
        <w:trPr>
          <w:trHeight w:val="945"/>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945"/>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25%</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25%</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25%</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25%</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446D59" w:rsidP="00446D5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業務時間外に</w:t>
            </w:r>
            <w:r w:rsidR="005E2FE8">
              <w:rPr>
                <w:rFonts w:ascii="ＭＳ Ｐゴシック" w:eastAsia="ＭＳ Ｐゴシック" w:hAnsi="ＭＳ Ｐゴシック" w:cs="ＭＳ Ｐゴシック" w:hint="eastAsia"/>
                <w:color w:val="000000"/>
                <w:kern w:val="0"/>
                <w:sz w:val="20"/>
                <w:szCs w:val="20"/>
              </w:rPr>
              <w:t>個々で必要な研修を受けている。</w:t>
            </w:r>
            <w:r>
              <w:rPr>
                <w:rFonts w:ascii="ＭＳ Ｐゴシック" w:eastAsia="ＭＳ Ｐゴシック" w:hAnsi="ＭＳ Ｐゴシック" w:cs="ＭＳ Ｐゴシック" w:hint="eastAsia"/>
                <w:color w:val="000000"/>
                <w:kern w:val="0"/>
                <w:sz w:val="20"/>
                <w:szCs w:val="20"/>
              </w:rPr>
              <w:t>研修</w:t>
            </w:r>
            <w:r w:rsidR="005E2FE8">
              <w:rPr>
                <w:rFonts w:ascii="ＭＳ Ｐゴシック" w:eastAsia="ＭＳ Ｐゴシック" w:hAnsi="ＭＳ Ｐゴシック" w:cs="ＭＳ Ｐゴシック" w:hint="eastAsia"/>
                <w:color w:val="000000"/>
                <w:kern w:val="0"/>
                <w:sz w:val="20"/>
                <w:szCs w:val="20"/>
              </w:rPr>
              <w:t>費用会社負担の制度あり。</w:t>
            </w:r>
            <w:r w:rsidR="00867BA5"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945"/>
        </w:trPr>
        <w:tc>
          <w:tcPr>
            <w:tcW w:w="56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446D59"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保護者にニーズ表を記入してもらうなどして、支援計画を立てている。</w:t>
            </w:r>
            <w:r w:rsidR="00867BA5"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nil"/>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nil"/>
              <w:left w:val="nil"/>
              <w:bottom w:val="nil"/>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rsidR="00867BA5" w:rsidRPr="006D79A3" w:rsidRDefault="00446D59"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児童の下校時間に合わせた活動を用意</w:t>
            </w:r>
            <w:r w:rsidR="00867BA5"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02"/>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446D59"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利用時間に応じて、個々に合った個別課題の準備をしている</w:t>
            </w:r>
          </w:p>
        </w:tc>
      </w:tr>
      <w:tr w:rsidR="00867BA5" w:rsidRPr="006D79A3" w:rsidTr="00867BA5">
        <w:trPr>
          <w:trHeight w:val="945"/>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E0109C">
              <w:rPr>
                <w:rFonts w:ascii="ＭＳ Ｐゴシック" w:eastAsia="ＭＳ Ｐゴシック" w:hAnsi="ＭＳ Ｐゴシック" w:cs="ＭＳ Ｐゴシック" w:hint="eastAsia"/>
                <w:color w:val="000000"/>
                <w:kern w:val="0"/>
                <w:sz w:val="20"/>
                <w:szCs w:val="20"/>
              </w:rPr>
              <w:t>児童の状況に応じてスケジュールを組み立てている</w:t>
            </w:r>
          </w:p>
        </w:tc>
      </w:tr>
      <w:tr w:rsidR="00867BA5" w:rsidRPr="006D79A3" w:rsidTr="00867BA5">
        <w:trPr>
          <w:trHeight w:val="930"/>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446D59">
            <w:pPr>
              <w:widowControl/>
              <w:jc w:val="left"/>
              <w:rPr>
                <w:rFonts w:ascii="ＭＳ Ｐゴシック" w:eastAsia="ＭＳ Ｐゴシック" w:hAnsi="ＭＳ Ｐゴシック" w:cs="ＭＳ Ｐゴシック"/>
                <w:color w:val="000000"/>
                <w:kern w:val="0"/>
                <w:sz w:val="20"/>
                <w:szCs w:val="20"/>
              </w:rPr>
            </w:pPr>
          </w:p>
        </w:tc>
      </w:tr>
      <w:tr w:rsidR="00867BA5" w:rsidRPr="006D79A3" w:rsidTr="00867BA5">
        <w:trPr>
          <w:trHeight w:val="945"/>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446D59"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支援開始前に、前回の記録に基づき振り返りを行い、情報を共有する</w:t>
            </w:r>
            <w:r w:rsidR="00867BA5" w:rsidRPr="006D79A3">
              <w:rPr>
                <w:rFonts w:ascii="ＭＳ Ｐゴシック" w:eastAsia="ＭＳ Ｐゴシック" w:hAnsi="ＭＳ Ｐゴシック" w:cs="ＭＳ Ｐゴシック" w:hint="eastAsia"/>
                <w:color w:val="000000"/>
                <w:kern w:val="0"/>
                <w:sz w:val="20"/>
                <w:szCs w:val="20"/>
              </w:rPr>
              <w:t xml:space="preserve">　</w:t>
            </w:r>
          </w:p>
        </w:tc>
      </w:tr>
      <w:tr w:rsidR="00867BA5" w:rsidRPr="006D79A3" w:rsidTr="00867BA5">
        <w:trPr>
          <w:trHeight w:val="720"/>
        </w:trPr>
        <w:tc>
          <w:tcPr>
            <w:tcW w:w="56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867BA5" w:rsidRPr="006D79A3" w:rsidTr="00867BA5">
        <w:trPr>
          <w:trHeight w:val="945"/>
        </w:trPr>
        <w:tc>
          <w:tcPr>
            <w:tcW w:w="50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867BA5" w:rsidRPr="006D79A3" w:rsidTr="00867BA5">
        <w:trPr>
          <w:trHeight w:val="705"/>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867BA5" w:rsidRPr="006D79A3" w:rsidTr="00867BA5">
        <w:trPr>
          <w:trHeight w:val="945"/>
        </w:trPr>
        <w:tc>
          <w:tcPr>
            <w:tcW w:w="50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867BA5" w:rsidRPr="006D79A3" w:rsidTr="00867BA5">
        <w:trPr>
          <w:trHeight w:val="1350"/>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867BA5" w:rsidRPr="006D79A3" w:rsidTr="00867BA5">
        <w:trPr>
          <w:trHeight w:val="945"/>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2D6AE8">
              <w:rPr>
                <w:rFonts w:ascii="ＭＳ Ｐゴシック" w:eastAsia="ＭＳ Ｐゴシック" w:hAnsi="ＭＳ Ｐゴシック" w:cs="ＭＳ Ｐゴシック" w:hint="eastAsia"/>
                <w:color w:val="000000"/>
                <w:kern w:val="0"/>
                <w:sz w:val="22"/>
              </w:rPr>
              <w:t>現在は</w:t>
            </w:r>
            <w:r w:rsidR="00446D59">
              <w:rPr>
                <w:rFonts w:ascii="ＭＳ Ｐゴシック" w:eastAsia="ＭＳ Ｐゴシック" w:hAnsi="ＭＳ Ｐゴシック" w:cs="ＭＳ Ｐゴシック" w:hint="eastAsia"/>
                <w:color w:val="000000"/>
                <w:kern w:val="0"/>
                <w:sz w:val="22"/>
              </w:rPr>
              <w:t>医療的ケアが必要な児童はいない</w:t>
            </w:r>
          </w:p>
        </w:tc>
      </w:tr>
      <w:tr w:rsidR="00867BA5" w:rsidRPr="006D79A3" w:rsidTr="00867BA5">
        <w:trPr>
          <w:trHeight w:val="945"/>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AA3AD2" w:rsidP="00AA3AD2">
            <w:pPr>
              <w:widowControl/>
              <w:spacing w:line="300" w:lineRule="exact"/>
              <w:ind w:firstLineChars="50" w:firstLine="10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25%</w:t>
            </w:r>
            <w:r w:rsidR="00867BA5"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446D59" w:rsidP="00D309B8">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当事業所で</w:t>
            </w:r>
            <w:r w:rsidR="007C5A13">
              <w:rPr>
                <w:rFonts w:ascii="ＭＳ Ｐゴシック" w:eastAsia="ＭＳ Ｐゴシック" w:hAnsi="ＭＳ Ｐゴシック" w:cs="ＭＳ Ｐゴシック" w:hint="eastAsia"/>
                <w:color w:val="000000"/>
                <w:kern w:val="0"/>
                <w:sz w:val="22"/>
              </w:rPr>
              <w:t>児童発達支援を利用した子供を</w:t>
            </w:r>
            <w:r w:rsidR="00D309B8">
              <w:rPr>
                <w:rFonts w:ascii="ＭＳ Ｐゴシック" w:eastAsia="ＭＳ Ｐゴシック" w:hAnsi="ＭＳ Ｐゴシック" w:cs="ＭＳ Ｐゴシック" w:hint="eastAsia"/>
                <w:color w:val="000000"/>
                <w:kern w:val="0"/>
                <w:sz w:val="22"/>
              </w:rPr>
              <w:t>就学後に</w:t>
            </w:r>
            <w:r w:rsidR="007C5A13">
              <w:rPr>
                <w:rFonts w:ascii="ＭＳ Ｐゴシック" w:eastAsia="ＭＳ Ｐゴシック" w:hAnsi="ＭＳ Ｐゴシック" w:cs="ＭＳ Ｐゴシック" w:hint="eastAsia"/>
                <w:color w:val="000000"/>
                <w:kern w:val="0"/>
                <w:sz w:val="22"/>
              </w:rPr>
              <w:t>受け入れ</w:t>
            </w:r>
            <w:r w:rsidR="00D309B8">
              <w:rPr>
                <w:rFonts w:ascii="ＭＳ Ｐゴシック" w:eastAsia="ＭＳ Ｐゴシック" w:hAnsi="ＭＳ Ｐゴシック" w:cs="ＭＳ Ｐゴシック" w:hint="eastAsia"/>
                <w:color w:val="000000"/>
                <w:kern w:val="0"/>
                <w:sz w:val="22"/>
              </w:rPr>
              <w:t>、継続的に支援。</w:t>
            </w:r>
          </w:p>
        </w:tc>
      </w:tr>
      <w:tr w:rsidR="00867BA5" w:rsidRPr="006D79A3" w:rsidTr="00867BA5">
        <w:trPr>
          <w:trHeight w:val="1200"/>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spacing w:line="300" w:lineRule="exact"/>
              <w:ind w:firstLineChars="50" w:firstLine="10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r w:rsidR="00AA3AD2"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0109C">
              <w:rPr>
                <w:rFonts w:ascii="ＭＳ Ｐゴシック" w:eastAsia="ＭＳ Ｐゴシック" w:hAnsi="ＭＳ Ｐゴシック" w:cs="ＭＳ Ｐゴシック" w:hint="eastAsia"/>
                <w:color w:val="000000"/>
                <w:kern w:val="0"/>
                <w:sz w:val="22"/>
              </w:rPr>
              <w:t>障害福祉サービス等に移行した児童がいないが、移行する場合は支援できる。</w:t>
            </w:r>
          </w:p>
        </w:tc>
      </w:tr>
      <w:tr w:rsidR="00867BA5" w:rsidRPr="006D79A3" w:rsidTr="00867BA5">
        <w:trPr>
          <w:trHeight w:val="960"/>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E0109C">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E0109C">
              <w:rPr>
                <w:rFonts w:ascii="ＭＳ Ｐゴシック" w:eastAsia="ＭＳ Ｐゴシック" w:hAnsi="ＭＳ Ｐゴシック" w:cs="ＭＳ Ｐゴシック" w:hint="eastAsia"/>
                <w:color w:val="000000"/>
                <w:kern w:val="0"/>
                <w:sz w:val="22"/>
              </w:rPr>
              <w:t>児童発達支援で専門機関から助言をいただき、放デイにも活かしている</w:t>
            </w:r>
          </w:p>
        </w:tc>
      </w:tr>
      <w:tr w:rsidR="00867BA5" w:rsidRPr="006D79A3" w:rsidTr="00867BA5">
        <w:trPr>
          <w:trHeight w:val="702"/>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r w:rsidR="00AA3AD2"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867BA5" w:rsidRPr="006D79A3" w:rsidTr="00867BA5">
        <w:trPr>
          <w:trHeight w:val="702"/>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r w:rsidR="00AA3AD2"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r w:rsidR="00AA3AD2"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50%</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867BA5" w:rsidRPr="006D79A3" w:rsidTr="00867BA5">
        <w:trPr>
          <w:trHeight w:val="930"/>
        </w:trPr>
        <w:tc>
          <w:tcPr>
            <w:tcW w:w="504" w:type="dxa"/>
            <w:vMerge/>
            <w:tcBorders>
              <w:top w:val="nil"/>
              <w:left w:val="single" w:sz="4" w:space="0" w:color="auto"/>
              <w:bottom w:val="single" w:sz="4" w:space="0" w:color="000000"/>
              <w:right w:val="single" w:sz="4" w:space="0" w:color="auto"/>
            </w:tcBorders>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867BA5" w:rsidRPr="006D79A3"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45" w:type="dxa"/>
            <w:tcBorders>
              <w:top w:val="nil"/>
              <w:left w:val="nil"/>
              <w:bottom w:val="single" w:sz="4" w:space="0" w:color="auto"/>
              <w:right w:val="single" w:sz="4" w:space="0" w:color="auto"/>
            </w:tcBorders>
            <w:shd w:val="clear" w:color="auto" w:fill="auto"/>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867BA5" w:rsidRPr="006D79A3" w:rsidRDefault="007C5A13" w:rsidP="007C5A13">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日頃から会える保護者とは共通理解できているが、なかなか会えない保護者もいる。</w:t>
            </w:r>
            <w:r w:rsidR="00867BA5" w:rsidRPr="006D79A3">
              <w:rPr>
                <w:rFonts w:ascii="ＭＳ Ｐゴシック" w:eastAsia="ＭＳ Ｐゴシック" w:hAnsi="ＭＳ Ｐゴシック" w:cs="ＭＳ Ｐゴシック" w:hint="eastAsia"/>
                <w:color w:val="000000"/>
                <w:kern w:val="0"/>
                <w:sz w:val="22"/>
              </w:rPr>
              <w:t xml:space="preserve">　</w:t>
            </w:r>
          </w:p>
        </w:tc>
      </w:tr>
      <w:tr w:rsidR="00AA3AD2" w:rsidRPr="006D79A3" w:rsidTr="00867BA5">
        <w:trPr>
          <w:trHeight w:val="930"/>
        </w:trPr>
        <w:tc>
          <w:tcPr>
            <w:tcW w:w="504" w:type="dxa"/>
            <w:vMerge/>
            <w:tcBorders>
              <w:top w:val="nil"/>
              <w:left w:val="single" w:sz="4" w:space="0" w:color="auto"/>
              <w:bottom w:val="single" w:sz="4" w:space="0" w:color="000000"/>
              <w:right w:val="single" w:sz="4" w:space="0" w:color="auto"/>
            </w:tcBorders>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AA3AD2" w:rsidRPr="006D79A3" w:rsidRDefault="00AA3AD2" w:rsidP="00AA3AD2">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45" w:type="dxa"/>
            <w:tcBorders>
              <w:top w:val="nil"/>
              <w:left w:val="nil"/>
              <w:bottom w:val="single" w:sz="4" w:space="0" w:color="auto"/>
              <w:right w:val="single" w:sz="4" w:space="0" w:color="auto"/>
            </w:tcBorders>
            <w:shd w:val="clear" w:color="auto" w:fill="auto"/>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25%</w:t>
            </w: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50%</w:t>
            </w:r>
          </w:p>
        </w:tc>
        <w:tc>
          <w:tcPr>
            <w:tcW w:w="40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p>
        </w:tc>
      </w:tr>
      <w:tr w:rsidR="00AA3AD2" w:rsidRPr="006D79A3" w:rsidTr="00867BA5">
        <w:trPr>
          <w:trHeight w:val="705"/>
        </w:trPr>
        <w:tc>
          <w:tcPr>
            <w:tcW w:w="50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AA3AD2" w:rsidRPr="006D79A3" w:rsidRDefault="00AA3AD2" w:rsidP="00AA3AD2">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rsidR="00AA3AD2" w:rsidRPr="006D79A3" w:rsidRDefault="00AA3AD2" w:rsidP="00AA3AD2">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45" w:type="dxa"/>
            <w:tcBorders>
              <w:top w:val="nil"/>
              <w:left w:val="nil"/>
              <w:bottom w:val="single" w:sz="4" w:space="0" w:color="auto"/>
              <w:right w:val="single" w:sz="4" w:space="0" w:color="auto"/>
            </w:tcBorders>
            <w:shd w:val="clear" w:color="auto" w:fill="auto"/>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ind w:firstLineChars="50" w:firstLine="10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25%</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AA3AD2" w:rsidRPr="006D79A3" w:rsidTr="00867BA5">
        <w:trPr>
          <w:trHeight w:val="930"/>
        </w:trPr>
        <w:tc>
          <w:tcPr>
            <w:tcW w:w="504" w:type="dxa"/>
            <w:vMerge/>
            <w:tcBorders>
              <w:top w:val="nil"/>
              <w:left w:val="single" w:sz="4" w:space="0" w:color="auto"/>
              <w:bottom w:val="nil"/>
              <w:right w:val="single" w:sz="4" w:space="0" w:color="auto"/>
            </w:tcBorders>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AA3AD2" w:rsidRPr="006D79A3" w:rsidRDefault="00AA3AD2" w:rsidP="00AA3AD2">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45" w:type="dxa"/>
            <w:tcBorders>
              <w:top w:val="nil"/>
              <w:left w:val="nil"/>
              <w:bottom w:val="single" w:sz="4" w:space="0" w:color="auto"/>
              <w:right w:val="single" w:sz="4" w:space="0" w:color="auto"/>
            </w:tcBorders>
            <w:shd w:val="clear" w:color="auto" w:fill="auto"/>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r>
      <w:tr w:rsidR="00AA3AD2" w:rsidRPr="006D79A3" w:rsidTr="00867BA5">
        <w:trPr>
          <w:trHeight w:val="945"/>
        </w:trPr>
        <w:tc>
          <w:tcPr>
            <w:tcW w:w="504" w:type="dxa"/>
            <w:vMerge/>
            <w:tcBorders>
              <w:top w:val="nil"/>
              <w:left w:val="single" w:sz="4" w:space="0" w:color="auto"/>
              <w:bottom w:val="single" w:sz="4" w:space="0" w:color="auto"/>
              <w:right w:val="single" w:sz="4" w:space="0" w:color="auto"/>
            </w:tcBorders>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rsidR="00AA3AD2" w:rsidRPr="006D79A3" w:rsidRDefault="00AA3AD2" w:rsidP="00AA3AD2">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45" w:type="dxa"/>
            <w:tcBorders>
              <w:top w:val="nil"/>
              <w:left w:val="nil"/>
              <w:bottom w:val="single" w:sz="4" w:space="0" w:color="auto"/>
              <w:right w:val="single" w:sz="4" w:space="0" w:color="auto"/>
            </w:tcBorders>
            <w:shd w:val="clear" w:color="auto" w:fill="auto"/>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6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A3AD2" w:rsidRPr="006D79A3" w:rsidRDefault="00AA3AD2" w:rsidP="00AA3AD2">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AA3AD2" w:rsidRPr="006D79A3" w:rsidRDefault="007C5A13" w:rsidP="00AA3AD2">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今年は児発だけでなく放課後の保護者も参加で保護者会を開催できた。</w:t>
            </w:r>
          </w:p>
        </w:tc>
      </w:tr>
    </w:tbl>
    <w:p w:rsidR="002C2F42" w:rsidRDefault="002C2F42" w:rsidP="006D79A3">
      <w:pPr>
        <w:spacing w:line="300" w:lineRule="exact"/>
      </w:pPr>
    </w:p>
    <w:tbl>
      <w:tblPr>
        <w:tblW w:w="11139"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867BA5" w:rsidRPr="00F22884" w:rsidTr="00867BA5">
        <w:trPr>
          <w:trHeight w:val="1230"/>
        </w:trPr>
        <w:tc>
          <w:tcPr>
            <w:tcW w:w="504"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bookmarkStart w:id="0" w:name="_GoBack"/>
            <w:bookmarkEnd w:id="0"/>
          </w:p>
        </w:tc>
      </w:tr>
      <w:tr w:rsidR="00867BA5" w:rsidRPr="00F22884" w:rsidTr="00867BA5">
        <w:trPr>
          <w:trHeight w:val="945"/>
        </w:trPr>
        <w:tc>
          <w:tcPr>
            <w:tcW w:w="504" w:type="dxa"/>
            <w:tcBorders>
              <w:top w:val="nil"/>
              <w:left w:val="single" w:sz="4" w:space="0" w:color="auto"/>
              <w:bottom w:val="nil"/>
              <w:right w:val="single" w:sz="4" w:space="0" w:color="auto"/>
            </w:tcBorders>
            <w:shd w:val="clear" w:color="000000" w:fill="D9D9D9"/>
            <w:noWrap/>
            <w:textDirection w:val="tbRlV"/>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7C5A13" w:rsidP="00867BA5">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長期休暇前には、活動内容などのお知らせを発行。</w:t>
            </w:r>
          </w:p>
        </w:tc>
      </w:tr>
      <w:tr w:rsidR="00867BA5" w:rsidRPr="00F22884" w:rsidTr="00867BA5">
        <w:trPr>
          <w:trHeight w:val="702"/>
        </w:trPr>
        <w:tc>
          <w:tcPr>
            <w:tcW w:w="504" w:type="dxa"/>
            <w:tcBorders>
              <w:top w:val="nil"/>
              <w:left w:val="single" w:sz="4" w:space="0" w:color="auto"/>
              <w:bottom w:val="nil"/>
              <w:right w:val="single" w:sz="4" w:space="0" w:color="auto"/>
            </w:tcBorders>
            <w:shd w:val="clear" w:color="000000" w:fill="D9D9D9"/>
            <w:noWrap/>
            <w:textDirection w:val="tbRlV"/>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867BA5" w:rsidRPr="00F22884" w:rsidTr="00867BA5">
        <w:trPr>
          <w:trHeight w:val="702"/>
        </w:trPr>
        <w:tc>
          <w:tcPr>
            <w:tcW w:w="504" w:type="dxa"/>
            <w:tcBorders>
              <w:top w:val="nil"/>
              <w:left w:val="single" w:sz="4" w:space="0" w:color="auto"/>
              <w:bottom w:val="nil"/>
              <w:right w:val="single" w:sz="4" w:space="0" w:color="auto"/>
            </w:tcBorders>
            <w:shd w:val="clear" w:color="000000" w:fill="D9D9D9"/>
            <w:noWrap/>
            <w:textDirection w:val="tbRlV"/>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867BA5" w:rsidRPr="00F22884" w:rsidTr="00867BA5">
        <w:trPr>
          <w:trHeight w:val="702"/>
        </w:trPr>
        <w:tc>
          <w:tcPr>
            <w:tcW w:w="504"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AA3AD2">
            <w:pPr>
              <w:widowControl/>
              <w:spacing w:line="300" w:lineRule="exact"/>
              <w:ind w:firstLineChars="50" w:firstLine="10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867BA5" w:rsidRPr="00F22884" w:rsidTr="00867BA5">
        <w:trPr>
          <w:trHeight w:val="919"/>
        </w:trPr>
        <w:tc>
          <w:tcPr>
            <w:tcW w:w="50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Default="007C5A13" w:rsidP="00867BA5">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職員にのみ周知している。</w:t>
            </w:r>
          </w:p>
          <w:p w:rsidR="007C5A13" w:rsidRPr="00F22884" w:rsidRDefault="007C5A13" w:rsidP="00867BA5">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今後保護者にも周知させていきます</w:t>
            </w:r>
          </w:p>
        </w:tc>
      </w:tr>
      <w:tr w:rsidR="00867BA5" w:rsidRPr="00F22884" w:rsidTr="00867BA5">
        <w:trPr>
          <w:trHeight w:val="705"/>
        </w:trPr>
        <w:tc>
          <w:tcPr>
            <w:tcW w:w="504" w:type="dxa"/>
            <w:vMerge/>
            <w:tcBorders>
              <w:top w:val="nil"/>
              <w:left w:val="single" w:sz="4" w:space="0" w:color="auto"/>
              <w:bottom w:val="single" w:sz="4" w:space="0" w:color="000000"/>
              <w:right w:val="single" w:sz="4" w:space="0" w:color="auto"/>
            </w:tcBorders>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AA3AD2" w:rsidP="00867BA5">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100%</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C5A13">
              <w:rPr>
                <w:rFonts w:ascii="ＭＳ Ｐゴシック" w:eastAsia="ＭＳ Ｐゴシック" w:hAnsi="ＭＳ Ｐゴシック" w:cs="ＭＳ Ｐゴシック" w:hint="eastAsia"/>
                <w:color w:val="000000"/>
                <w:kern w:val="0"/>
                <w:sz w:val="22"/>
              </w:rPr>
              <w:t>今後、計画的におこなっていきます</w:t>
            </w:r>
          </w:p>
        </w:tc>
      </w:tr>
      <w:tr w:rsidR="00867BA5" w:rsidRPr="00F22884" w:rsidTr="00867BA5">
        <w:trPr>
          <w:trHeight w:val="705"/>
        </w:trPr>
        <w:tc>
          <w:tcPr>
            <w:tcW w:w="504" w:type="dxa"/>
            <w:vMerge/>
            <w:tcBorders>
              <w:top w:val="nil"/>
              <w:left w:val="single" w:sz="4" w:space="0" w:color="auto"/>
              <w:bottom w:val="single" w:sz="4" w:space="0" w:color="000000"/>
              <w:right w:val="single" w:sz="4" w:space="0" w:color="auto"/>
            </w:tcBorders>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AA3AD2">
            <w:pPr>
              <w:widowControl/>
              <w:spacing w:line="360" w:lineRule="auto"/>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2"/>
              </w:rPr>
              <w:t>50</w:t>
            </w:r>
            <w:r w:rsidR="00AA3AD2">
              <w:rPr>
                <w:rFonts w:ascii="ＭＳ Ｐゴシック" w:eastAsia="ＭＳ Ｐゴシック" w:hAnsi="ＭＳ Ｐゴシック" w:cs="ＭＳ Ｐゴシック"/>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7C5A13" w:rsidP="00867BA5">
            <w:pPr>
              <w:widowControl/>
              <w:spacing w:line="30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熊本県が実施する虐待防止研修に毎年参加しています</w:t>
            </w:r>
          </w:p>
        </w:tc>
      </w:tr>
      <w:tr w:rsidR="00867BA5" w:rsidRPr="00F22884" w:rsidTr="00867BA5">
        <w:trPr>
          <w:trHeight w:val="1200"/>
        </w:trPr>
        <w:tc>
          <w:tcPr>
            <w:tcW w:w="504" w:type="dxa"/>
            <w:vMerge/>
            <w:tcBorders>
              <w:top w:val="nil"/>
              <w:left w:val="single" w:sz="4" w:space="0" w:color="auto"/>
              <w:bottom w:val="single" w:sz="4" w:space="0" w:color="000000"/>
              <w:right w:val="single" w:sz="4" w:space="0" w:color="auto"/>
            </w:tcBorders>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100%</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867BA5" w:rsidRPr="00F22884" w:rsidTr="00867BA5">
        <w:trPr>
          <w:trHeight w:val="702"/>
        </w:trPr>
        <w:tc>
          <w:tcPr>
            <w:tcW w:w="504" w:type="dxa"/>
            <w:vMerge/>
            <w:tcBorders>
              <w:top w:val="nil"/>
              <w:left w:val="single" w:sz="4" w:space="0" w:color="auto"/>
              <w:bottom w:val="single" w:sz="4" w:space="0" w:color="000000"/>
              <w:right w:val="single" w:sz="4" w:space="0" w:color="auto"/>
            </w:tcBorders>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AA3AD2">
            <w:pPr>
              <w:widowControl/>
              <w:ind w:firstLineChars="50" w:firstLine="1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50%</w:t>
            </w:r>
            <w:r w:rsidRPr="006D79A3">
              <w:rPr>
                <w:rFonts w:ascii="ＭＳ Ｐゴシック" w:eastAsia="ＭＳ Ｐゴシック" w:hAnsi="ＭＳ Ｐゴシック" w:cs="ＭＳ Ｐゴシック" w:hint="eastAsia"/>
                <w:color w:val="000000"/>
                <w:kern w:val="0"/>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6D79A3" w:rsidRDefault="00867BA5" w:rsidP="00867BA5">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50%</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r w:rsidR="00867BA5" w:rsidRPr="00F22884" w:rsidTr="00867BA5">
        <w:trPr>
          <w:trHeight w:val="702"/>
        </w:trPr>
        <w:tc>
          <w:tcPr>
            <w:tcW w:w="504" w:type="dxa"/>
            <w:vMerge/>
            <w:tcBorders>
              <w:top w:val="nil"/>
              <w:left w:val="single" w:sz="4" w:space="0" w:color="auto"/>
              <w:bottom w:val="single" w:sz="4" w:space="0" w:color="000000"/>
              <w:right w:val="single" w:sz="4" w:space="0" w:color="auto"/>
            </w:tcBorders>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rsidR="00867BA5" w:rsidRPr="00F22884" w:rsidRDefault="00867BA5" w:rsidP="00867BA5">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AA3AD2">
              <w:rPr>
                <w:rFonts w:ascii="ＭＳ Ｐゴシック" w:eastAsia="ＭＳ Ｐゴシック" w:hAnsi="ＭＳ Ｐゴシック" w:cs="ＭＳ Ｐゴシック" w:hint="eastAsia"/>
                <w:color w:val="000000"/>
                <w:kern w:val="0"/>
                <w:sz w:val="20"/>
                <w:szCs w:val="20"/>
              </w:rPr>
              <w:t>25%</w:t>
            </w:r>
          </w:p>
        </w:tc>
        <w:tc>
          <w:tcPr>
            <w:tcW w:w="727"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0"/>
                <w:szCs w:val="20"/>
              </w:rPr>
              <w:t>7</w:t>
            </w:r>
            <w:r>
              <w:rPr>
                <w:rFonts w:ascii="ＭＳ Ｐゴシック" w:eastAsia="ＭＳ Ｐゴシック" w:hAnsi="ＭＳ Ｐゴシック" w:cs="ＭＳ Ｐゴシック"/>
                <w:color w:val="000000"/>
                <w:kern w:val="0"/>
                <w:sz w:val="20"/>
                <w:szCs w:val="20"/>
              </w:rPr>
              <w:t>5%</w:t>
            </w:r>
          </w:p>
        </w:tc>
        <w:tc>
          <w:tcPr>
            <w:tcW w:w="3979" w:type="dxa"/>
            <w:tcBorders>
              <w:top w:val="nil"/>
              <w:left w:val="nil"/>
              <w:bottom w:val="single" w:sz="4" w:space="0" w:color="auto"/>
              <w:right w:val="single" w:sz="4" w:space="0" w:color="auto"/>
            </w:tcBorders>
            <w:shd w:val="clear" w:color="auto" w:fill="auto"/>
            <w:noWrap/>
            <w:vAlign w:val="center"/>
            <w:hideMark/>
          </w:tcPr>
          <w:p w:rsidR="00867BA5" w:rsidRPr="00F22884" w:rsidRDefault="00867BA5" w:rsidP="00867BA5">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r>
    </w:tbl>
    <w:p w:rsidR="00F22884" w:rsidRPr="006D79A3" w:rsidRDefault="00F22884" w:rsidP="00F22884">
      <w:pPr>
        <w:spacing w:line="300" w:lineRule="exact"/>
      </w:pPr>
    </w:p>
    <w:sectPr w:rsidR="00F22884" w:rsidRPr="006D79A3" w:rsidSect="00867BA5">
      <w:pgSz w:w="11906" w:h="16838" w:code="9"/>
      <w:pgMar w:top="1134" w:right="1134" w:bottom="62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A3"/>
    <w:rsid w:val="002121F4"/>
    <w:rsid w:val="002C2F42"/>
    <w:rsid w:val="002D6AE8"/>
    <w:rsid w:val="00446D59"/>
    <w:rsid w:val="005E2FE8"/>
    <w:rsid w:val="005F22E7"/>
    <w:rsid w:val="006D79A3"/>
    <w:rsid w:val="00780F7D"/>
    <w:rsid w:val="007C5A13"/>
    <w:rsid w:val="00867BA5"/>
    <w:rsid w:val="009D7B87"/>
    <w:rsid w:val="00AA3AD2"/>
    <w:rsid w:val="00CC2EC8"/>
    <w:rsid w:val="00D309B8"/>
    <w:rsid w:val="00DB2F11"/>
    <w:rsid w:val="00E0109C"/>
    <w:rsid w:val="00F22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A6DE73-E89C-4B88-8D42-63C9A5F6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A95F-FDA9-4AE4-8CDA-9AF93280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atena01</cp:lastModifiedBy>
  <cp:revision>8</cp:revision>
  <dcterms:created xsi:type="dcterms:W3CDTF">2018-11-07T03:19:00Z</dcterms:created>
  <dcterms:modified xsi:type="dcterms:W3CDTF">2019-01-21T00:31:00Z</dcterms:modified>
</cp:coreProperties>
</file>